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CD" w:rsidRDefault="00FC04CD" w:rsidP="00FC04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C04CD" w:rsidRDefault="00FC04CD" w:rsidP="00FC04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FC04CD">
        <w:rPr>
          <w:rFonts w:ascii="Arial" w:eastAsia="Times New Roman" w:hAnsi="Arial" w:cs="Arial"/>
          <w:noProof/>
          <w:sz w:val="16"/>
          <w:szCs w:val="16"/>
          <w:lang w:eastAsia="es-ES"/>
        </w:rPr>
        <w:drawing>
          <wp:inline distT="0" distB="0" distL="0" distR="0">
            <wp:extent cx="2571750" cy="542925"/>
            <wp:effectExtent l="19050" t="0" r="0" b="0"/>
            <wp:docPr id="3" name="Imagen 1" descr="http://aeiou.expresso.pt/images/logotipo.gif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iou.expresso.pt/images/logotipo.gif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CD" w:rsidRDefault="00FC04CD" w:rsidP="00FC04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p w:rsidR="00FC04CD" w:rsidRDefault="00FC04CD" w:rsidP="00FC04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98"/>
        <w:gridCol w:w="6"/>
      </w:tblGrid>
      <w:tr w:rsidR="00FC04CD" w:rsidRPr="00FC04CD" w:rsidTr="00FC04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4"/>
              <w:gridCol w:w="6"/>
              <w:gridCol w:w="6394"/>
            </w:tblGrid>
            <w:tr w:rsidR="00FC04CD" w:rsidRPr="00FC04CD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bottom"/>
                  <w:hideMark/>
                </w:tcPr>
                <w:p w:rsidR="00FC04CD" w:rsidRPr="00FC04CD" w:rsidRDefault="00FC04CD" w:rsidP="00FC04CD">
                  <w:pPr>
                    <w:spacing w:after="0" w:line="285" w:lineRule="atLeast"/>
                    <w:rPr>
                      <w:rFonts w:ascii="Arial" w:eastAsia="Times New Roman" w:hAnsi="Arial" w:cs="Arial"/>
                      <w:b/>
                      <w:bCs/>
                      <w:caps/>
                      <w:color w:val="015A7A"/>
                      <w:sz w:val="27"/>
                      <w:szCs w:val="27"/>
                      <w:lang w:eastAsia="es-ES"/>
                    </w:rPr>
                  </w:pP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aps/>
                      <w:color w:val="015A7A"/>
                      <w:sz w:val="27"/>
                      <w:szCs w:val="27"/>
                      <w:lang w:eastAsia="es-ES"/>
                    </w:rPr>
                    <w:t>Actualidade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vAlign w:val="center"/>
                  <w:hideMark/>
                </w:tcPr>
                <w:p w:rsidR="00FC04CD" w:rsidRPr="00FC04CD" w:rsidRDefault="00FC04CD" w:rsidP="00FC04C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FC04CD" w:rsidRPr="00FC04CD" w:rsidRDefault="00FC04CD" w:rsidP="00FC04C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"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Faltam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 xml:space="preserve"> das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"</w:t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 «  </w:t>
                  </w:r>
                  <w:hyperlink r:id="rId6" w:tgtFrame="_top" w:history="1">
                    <w:proofErr w:type="spellStart"/>
                    <w:r w:rsidRPr="00FC04CD">
                      <w:rPr>
                        <w:rFonts w:ascii="Arial" w:eastAsia="Times New Roman" w:hAnsi="Arial" w:cs="Arial"/>
                        <w:color w:val="015A7A"/>
                        <w:sz w:val="17"/>
                        <w:lang w:eastAsia="es-ES"/>
                      </w:rPr>
                      <w:t>Actualidade</w:t>
                    </w:r>
                    <w:proofErr w:type="spellEnd"/>
                  </w:hyperlink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 « </w:t>
                  </w:r>
                  <w:hyperlink r:id="rId7" w:tgtFrame="_top" w:history="1">
                    <w:r w:rsidRPr="00FC04CD">
                      <w:rPr>
                        <w:rFonts w:ascii="Arial" w:eastAsia="Times New Roman" w:hAnsi="Arial" w:cs="Arial"/>
                        <w:color w:val="015A7A"/>
                        <w:sz w:val="17"/>
                        <w:lang w:eastAsia="es-ES"/>
                      </w:rPr>
                      <w:t>Página Inicial</w:t>
                    </w:r>
                  </w:hyperlink>
                  <w:r w:rsidRPr="00FC04CD">
                    <w:rPr>
                      <w:rFonts w:ascii="Arial" w:eastAsia="Times New Roman" w:hAnsi="Arial" w:cs="Arial"/>
                      <w:color w:val="015A7A"/>
                      <w:sz w:val="17"/>
                      <w:lang w:eastAsia="es-ES"/>
                    </w:rPr>
                    <w:t> |</w:t>
                  </w:r>
                </w:p>
              </w:tc>
            </w:tr>
          </w:tbl>
          <w:p w:rsidR="00FC04CD" w:rsidRPr="00FC04CD" w:rsidRDefault="00FC04CD" w:rsidP="00FC0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</w:tr>
      <w:tr w:rsidR="00C93FA5" w:rsidRPr="00FC04CD" w:rsidTr="00FC04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A5" w:rsidRPr="00FC04CD" w:rsidRDefault="00C93FA5" w:rsidP="00FC04CD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aps/>
                <w:color w:val="015A7A"/>
                <w:sz w:val="27"/>
                <w:szCs w:val="27"/>
                <w:lang w:eastAsia="es-ES"/>
              </w:rPr>
            </w:pPr>
          </w:p>
        </w:tc>
      </w:tr>
      <w:tr w:rsidR="00FC04CD" w:rsidRPr="00FC04CD" w:rsidTr="00FC04CD">
        <w:trPr>
          <w:tblCellSpacing w:w="0" w:type="dxa"/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tcMar>
              <w:top w:w="600" w:type="dxa"/>
              <w:left w:w="0" w:type="dxa"/>
              <w:bottom w:w="0" w:type="dxa"/>
              <w:right w:w="285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3"/>
            </w:tblGrid>
            <w:tr w:rsidR="00FC04CD" w:rsidRPr="00FC04CD" w:rsidTr="00FC04C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60" w:type="dxa"/>
                    <w:right w:w="0" w:type="dxa"/>
                  </w:tcMar>
                  <w:vAlign w:val="center"/>
                  <w:hideMark/>
                </w:tcPr>
                <w:p w:rsidR="00FC04CD" w:rsidRPr="00FC04CD" w:rsidRDefault="00FC04CD" w:rsidP="00FC04CD">
                  <w:pPr>
                    <w:spacing w:after="0" w:line="360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</w:pPr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"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Faltam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 xml:space="preserve"> das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36"/>
                      <w:szCs w:val="36"/>
                      <w:lang w:eastAsia="es-ES"/>
                    </w:rPr>
                    <w:t xml:space="preserve">" </w:t>
                  </w:r>
                </w:p>
                <w:p w:rsidR="00FC04CD" w:rsidRDefault="00FC04CD" w:rsidP="00FC04CD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possível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 educar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sem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 gritar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 O psicólo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go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espanhol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 Guillermo Ballenato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garante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, e explica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>como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666666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84"/>
                    <w:gridCol w:w="29"/>
                  </w:tblGrid>
                  <w:tr w:rsidR="00FC04CD" w:rsidRPr="00FC04CD" w:rsidTr="00FC04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C04CD" w:rsidRPr="0053171F" w:rsidRDefault="00FC04CD" w:rsidP="00FC04C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53171F">
                          <w:rPr>
                            <w:rFonts w:ascii="Verdana" w:eastAsia="Times New Roman" w:hAnsi="Verdana" w:cs="Times New Roman"/>
                            <w:b/>
                            <w:color w:val="4C90B3"/>
                            <w:sz w:val="17"/>
                            <w:lang w:eastAsia="es-ES"/>
                          </w:rPr>
                          <w:t>Mafalda Anjos</w:t>
                        </w:r>
                        <w:r w:rsidRPr="0053171F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  <w:p w:rsidR="00FC04CD" w:rsidRPr="00FC04CD" w:rsidRDefault="00FC04CD" w:rsidP="00FC04CD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szCs w:val="17"/>
                            <w:lang w:eastAsia="es-ES"/>
                          </w:rPr>
                          <w:t>10</w:t>
                        </w:r>
                        <w:r w:rsidRPr="00FC04CD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de Abr</w:t>
                        </w:r>
                        <w:r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szCs w:val="17"/>
                            <w:lang w:eastAsia="es-ES"/>
                          </w:rPr>
                          <w:t>il</w:t>
                        </w:r>
                        <w:r w:rsidRPr="00FC04CD">
                          <w:rPr>
                            <w:rFonts w:ascii="Verdana" w:eastAsia="Times New Roman" w:hAnsi="Verdana" w:cs="Times New Roman"/>
                            <w:color w:val="666666"/>
                            <w:sz w:val="17"/>
                            <w:szCs w:val="17"/>
                            <w:lang w:eastAsia="es-ES"/>
                          </w:rPr>
                          <w:t xml:space="preserve"> de 2009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FC04CD" w:rsidRPr="00FC04CD" w:rsidRDefault="00FC04CD" w:rsidP="00FC04CD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FC04CD" w:rsidRPr="00FC04CD" w:rsidRDefault="00FC04CD" w:rsidP="00FC04C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FC04CD" w:rsidRPr="00FC04CD" w:rsidTr="00FC04C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FC04CD" w:rsidRPr="00FC04CD" w:rsidRDefault="00FC04CD" w:rsidP="00FC04C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FC04CD" w:rsidRPr="00FC04CD" w:rsidTr="00FC04CD">
              <w:trPr>
                <w:trHeight w:val="1005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FA5" w:rsidRDefault="00C93FA5" w:rsidP="00FC04CD">
                  <w:pPr>
                    <w:spacing w:after="0" w:line="210" w:lineRule="atLeast"/>
                    <w:jc w:val="righ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es-ES"/>
                    </w:rPr>
                  </w:pPr>
                </w:p>
                <w:p w:rsidR="00FC04CD" w:rsidRPr="00FC04CD" w:rsidRDefault="00FC04CD" w:rsidP="00FC04CD">
                  <w:pPr>
                    <w:spacing w:after="0" w:line="210" w:lineRule="atLeast"/>
                    <w:jc w:val="right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es-ES"/>
                    </w:rPr>
                    <w:t xml:space="preserve">Jorge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es-ES"/>
                    </w:rPr>
                    <w:t>Simão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reclamar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garante Guillermo Ballenato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Portugal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lançar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"Educar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Gritar". É preciso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impor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limites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às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também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ouvi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-las e dar-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atenção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Conjugar firmeza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flexibilidade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a chave 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sucesso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mantendo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coerência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respeito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basta boa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intenção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Para este psicólogo,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escolas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deviam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obrigatórias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Afinal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se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exigem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carta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condução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guiar, porque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exigem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diploma para educar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outro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7"/>
                      <w:szCs w:val="17"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2996565</wp:posOffset>
                        </wp:positionH>
                        <wp:positionV relativeFrom="paragraph">
                          <wp:posOffset>-1840865</wp:posOffset>
                        </wp:positionV>
                        <wp:extent cx="2190750" cy="3286125"/>
                        <wp:effectExtent l="19050" t="0" r="0" b="0"/>
                        <wp:wrapSquare wrapText="bothSides"/>
                        <wp:docPr id="22" name="Imagen 22" descr="&quot;Faltam regras na educação das criança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&quot;Faltam regras na educação das criança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primeira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reacção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muitos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olham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para o título 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dizer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que tal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impossível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Nunca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gritou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eles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tenho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duas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15 e 17 anos,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apliquei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desde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princípio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as técnicas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propostas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aparecem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testemunho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duplo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neste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caso, como pediatra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É claro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gritei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algumas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vezes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faço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pergunta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conferência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sala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cheia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todos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levantam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braço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dizendo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pressente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riso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fundo.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algum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momento, todos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perdem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cabeça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mesmo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perder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cabeça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vez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pontualmente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desculpar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-se,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sistematicamente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educar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gritos.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provérbio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: "Se educas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cavalo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gritos,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esperes que 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obedeça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simplesmente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falas."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Só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 obedecerá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gritares.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trata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só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da forma,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também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conteúdo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trato negativo,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humilhante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desvalorizante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faz perder a auto-estima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porque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respeito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ver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modelo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conduta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respeito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comunicação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tenderão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imitar 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vêem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nós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podemos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berros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"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disse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grites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!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", porque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nossa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conduta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estamos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os gritos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legítimos.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matéria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passou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-se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extremo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outro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eram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autoritários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negociadores,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discutem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eles de igual para igual. Estamos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ficar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demasiado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permissivos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penso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agora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peca pela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permissividade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reclamar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precisam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postos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lugar.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tudo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permitido, se nada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custa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conquistar, estamos a criar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inadaptadas.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ter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percebê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-las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cumpri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-las.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vários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estilos educativos, e acredito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autoritário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permissivo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liberal,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pouco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paternalista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sobreprotector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funcionam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Penso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o estilo democrático e dialogante é o que resulta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melhor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Note-se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existe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relação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igualdade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nível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comunicação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fluida entre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duas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partes.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lastRenderedPageBreak/>
                    <w:t>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regressar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algumas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vozes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conservadoras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forma de educar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que existe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confusão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enorme acerca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é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reivindico é moral, fruto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competência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coerência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do sentido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justiça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injusto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incoerente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perdeu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castigar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Os castigos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aceitáveis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o último recurso.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aplicados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pontualmente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pré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-aviso,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razoáveis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outro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lado,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anunciado calmamente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imediato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após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conduta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errada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pior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castigo é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ausência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atenção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Ser justo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difícil que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prudência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aconselha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ser-se benévolo e suave nos castigos.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Qual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então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grau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certo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como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exercê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-la correctamente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competência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educar, que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autoconfiante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que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feliz,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exemplo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modelo de carisma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apeteça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seguir, conquista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autoridade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moral enorme.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primeiros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anos de vida,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ter normas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muito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claras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fixas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Se,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recusa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coisa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no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seguinte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permitir,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rapidamente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terá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problema,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detectam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todas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incoerências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essencial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ser-se sistemático,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válido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ontem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amanhã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-se que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podem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dormir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cama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abrir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excepções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permite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excepções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duas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três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vezes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vive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discussão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constante.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arbitrariedade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pior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inimigo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.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descrever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bom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parece estar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falar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líder político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gerente de empresa.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se exige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demasiado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muito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difícil. 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Mas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boa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comparação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: o que faz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líder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organização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? Cuida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confia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funcionários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Também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cuidar e confiar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capacidades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estar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eles, dedicar-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tempo,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mesmo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chefe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É evidente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máquinas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perfeitas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educar, 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mas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modelos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seguir.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casais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decidem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ter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estão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conscientes da enorme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dificuldade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que é educar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formação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suficiente para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bons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conhecem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princípios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psicológicos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muito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básicos,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exemplo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sabem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como se explica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conduta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humana.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Penso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escolas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fundamentais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dar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bases. 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neste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manual sensato e simples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básicas a seguir. </w:t>
                  </w: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Cita no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frase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diz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que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chegam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a estar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tão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convencidos que os educadores e os psicólogos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sabem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 que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melhor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para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, que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esquecem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que eles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verdadeiros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especialistas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Acabam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por educar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livros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revistas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bom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senso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razão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Isto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ansiosos e inseguros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repito que a escola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 nos centros,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escolas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obrigatória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Temos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ter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formação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guiar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carro, porque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também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educar e formar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outro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Devíamos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diploma para educar,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temos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Estas técnicas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podem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ensinadas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fórmulas e alternativas para resolver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alguns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dos problemas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debatem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Só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boas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intenções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pode educar.</w:t>
                  </w:r>
                </w:p>
                <w:p w:rsid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Como ajustar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grau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certo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firmeza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flexibilidade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no estilo educativo democrático e dialogante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defende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verdadeira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chave está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suficientemente firme e claro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ponderando-as, e suficientemente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flexível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momento o exigir.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adolescente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regressar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casa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meia-noite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festa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especial e todos os amigos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voltar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manhã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se para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essencial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esteja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integrado 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sinta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parte do grupo, pode permitir-se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chegue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tarde.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fazem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trabalhos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de casa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estudam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eles,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vigiam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deveres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Isto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bom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ou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mau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relaxar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dar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espaço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aprenderem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sozinhos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escola,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os colegas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professores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-, dando-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responsabilidade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trabalho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Adoro a frase "Se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queres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ver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pés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terra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, coloca-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sobre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ombros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responsabilidade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".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julgar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pelos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resultados escolares,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pelo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esforço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Jamais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olhei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a agenda das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minhas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ver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para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seguinte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nunca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farei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sabem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estudar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trabalho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vida, e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essa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responsabilidade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. Explico-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como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dou-lhes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métodos e incentivo,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substituo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elas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assunção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responsabilidade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Quais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maiores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erros que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cometem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importância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primeiros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anos de vida - dedicar-se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três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primeiros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anos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enorme investimento para o futuro.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também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demasiado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permissivos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brandos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impondo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limites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regras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.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Está a aumentar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ansiedade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depressão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entre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dúvida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está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crescer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E aumenta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sobretudo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maneira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alarmante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intensidade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deste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tipo de crises.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Encontro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parecem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adultos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miniatura.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sobretudo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lastRenderedPageBreak/>
                    <w:t xml:space="preserve">meninos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jornada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pesadíssima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inglês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natação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ginástica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informática,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andam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correria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todo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têm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tempo para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brincar.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muito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competitiva causa stress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ansiedade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preocupar-se,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felicidade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hoje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excessivamente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serão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quando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forem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grandes. Todos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querem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sucedidos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profissionalmente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mas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só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acontece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forem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felizes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sobrecarregadas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Qual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importância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dos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reforços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recompensas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 como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administrá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-los correctamente</w:t>
                  </w:r>
                  <w:proofErr w:type="gram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?</w:t>
                  </w:r>
                  <w:proofErr w:type="gram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br/>
                    <w:t xml:space="preserve">A recompensa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muito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importante,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esporádica e pública.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melhor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prémio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reconhecimento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o elogio. Mas a recompensa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excessiva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exemplo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jamais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presente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às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minhas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pelos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êxitos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escola,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trabalho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contrário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descamba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facilmente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situação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: "Se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prémio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faço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."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Fala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aproveitar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o poder das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nossas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expectativas sobre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nossos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. Dar-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autoconfiança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elogiando e elevando-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lhes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as metas.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duas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ideias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-chave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atenção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- esta é a grande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maravilha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disposição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todos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é fácil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grátis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É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prémio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pior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castigo é a retirada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atenção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outra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convicção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expectativa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crença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origina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realidade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diz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"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vais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", as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hipóteses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isso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acontecer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maiores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 que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disser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"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sei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consegues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". Estimular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autoconfiança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ferramenta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poderosíssima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como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profecia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autocumprida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pegar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recém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-nascido e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quiser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dele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delinquente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é fácil. Os bebés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página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branco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Podemos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fazer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deles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quase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tudo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quisermos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.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Mas que lugar cabe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ao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material genético de cada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,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próprio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feitio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?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personalidade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só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resultado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...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há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educados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mesma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maneira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que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>são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t xml:space="preserve"> totalmente diferentes. </w:t>
                  </w:r>
                  <w:r w:rsidRPr="00FC04C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Sim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ideia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página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branco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metafórica. Mas, se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tivesse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apontar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número,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diria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que 80%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 20% da genética.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família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três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por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exemplo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é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surpreendente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o impacto 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ordem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nascimento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suas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personalidades.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Estatisticamente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é significativo que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velho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tende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ser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responsável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alta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resistência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frustração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repetição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 papel materno e paterno;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meio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tende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a ser o rebelde,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criativo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; o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mais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novo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divertido, gracioso, conciliador, mas mimado e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com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baixa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resistência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à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frustração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Uma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educação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eficaz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não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é igual para todos os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filhos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Deve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ser adaptada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ao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feitio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 xml:space="preserve"> de cada </w:t>
                  </w:r>
                  <w:proofErr w:type="spellStart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criança</w:t>
                  </w:r>
                  <w:proofErr w:type="spellEnd"/>
                  <w:r w:rsidRPr="00FC04CD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  <w:t>.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tbl>
                  <w:tblPr>
                    <w:tblpPr w:leftFromText="45" w:rightFromText="45" w:vertAnchor="text" w:tblpXSpec="right" w:tblpYSpec="center"/>
                    <w:tblW w:w="3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</w:tblGrid>
                  <w:tr w:rsidR="00FC04CD" w:rsidRPr="00FC04CD" w:rsidTr="00FC04C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C04CD" w:rsidRPr="00FC04CD" w:rsidRDefault="00FC04CD" w:rsidP="00FC04C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  <w:tr w:rsidR="00FC04CD" w:rsidRPr="00FC04CD" w:rsidTr="00FC04C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04CD" w:rsidRPr="00FC04CD" w:rsidRDefault="00FC04CD" w:rsidP="00FC04C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858585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FC04CD" w:rsidRPr="00FC04CD" w:rsidTr="00FC04C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FC04CD" w:rsidRPr="00FC04CD" w:rsidRDefault="00FC04CD" w:rsidP="00FC04CD">
                        <w:pPr>
                          <w:spacing w:after="0" w:line="210" w:lineRule="atLeast"/>
                          <w:rPr>
                            <w:rFonts w:ascii="Verdana" w:eastAsia="Times New Roman" w:hAnsi="Verdana" w:cs="Times New Roman"/>
                            <w:color w:val="999999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FC04CD" w:rsidRPr="00FC04CD" w:rsidRDefault="00FC04CD" w:rsidP="00FC04C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  <w:p w:rsidR="00FC04CD" w:rsidRPr="00FC04CD" w:rsidRDefault="00C93FA5" w:rsidP="00FC04CD">
                  <w:pPr>
                    <w:shd w:val="clear" w:color="auto" w:fill="F4F4F4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885AC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885AC"/>
                      <w:sz w:val="24"/>
                      <w:szCs w:val="24"/>
                      <w:lang w:eastAsia="es-E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3025140</wp:posOffset>
                        </wp:positionH>
                        <wp:positionV relativeFrom="paragraph">
                          <wp:posOffset>-7502525</wp:posOffset>
                        </wp:positionV>
                        <wp:extent cx="2190750" cy="5876925"/>
                        <wp:effectExtent l="19050" t="0" r="0" b="0"/>
                        <wp:wrapSquare wrapText="bothSides"/>
                        <wp:docPr id="5" name="Imagen 23" descr="&quot;Faltam regras na educação das criança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&quot;Faltam regras na educação das criança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587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FC04CD" w:rsidRPr="00FC04CD">
                    <w:rPr>
                      <w:rFonts w:ascii="Arial" w:eastAsia="Times New Roman" w:hAnsi="Arial" w:cs="Arial"/>
                      <w:b/>
                      <w:bCs/>
                      <w:color w:val="3885AC"/>
                      <w:sz w:val="24"/>
                      <w:szCs w:val="24"/>
                      <w:lang w:eastAsia="es-ES"/>
                    </w:rPr>
                    <w:t>B.I</w:t>
                  </w:r>
                  <w:proofErr w:type="spellEnd"/>
                </w:p>
                <w:p w:rsidR="00FC04CD" w:rsidRPr="00FC04CD" w:rsidRDefault="00FC04CD" w:rsidP="00FC04CD">
                  <w:pPr>
                    <w:shd w:val="clear" w:color="auto" w:fill="F4F4F4"/>
                    <w:spacing w:after="150" w:line="240" w:lineRule="auto"/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</w:pPr>
                  <w:r w:rsidRPr="00FC04CD">
                    <w:rPr>
                      <w:rFonts w:ascii="Arial" w:eastAsia="Times New Roman" w:hAnsi="Arial" w:cs="Arial"/>
                      <w:b/>
                      <w:bCs/>
                      <w:color w:val="3A3A2A"/>
                      <w:sz w:val="20"/>
                      <w:szCs w:val="20"/>
                      <w:lang w:eastAsia="es-ES"/>
                    </w:rPr>
                    <w:t>Guillermo Ballenato</w:t>
                  </w:r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é psicólogo, docente e escritor, especialista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Psicologia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Educativa,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Psicologia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Clínica, Industrial e de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Formação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. O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seu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último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livro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"Educar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sem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Gritar",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um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i/>
                      <w:iCs/>
                      <w:color w:val="3A3A2A"/>
                      <w:sz w:val="20"/>
                      <w:szCs w:val="20"/>
                      <w:lang w:eastAsia="es-ES"/>
                    </w:rPr>
                    <w:t>best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i/>
                      <w:iCs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i/>
                      <w:iCs/>
                      <w:color w:val="3A3A2A"/>
                      <w:sz w:val="20"/>
                      <w:szCs w:val="20"/>
                      <w:lang w:eastAsia="es-ES"/>
                    </w:rPr>
                    <w:t>seller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Espanha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acabou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de ser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lançado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Portugal pela A Oficina dos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Livros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.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Escreveu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-o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qualidade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de psicólogo 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pai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duas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adolescentes. Guillermo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trabalha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Universidade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Carlos III de Madrid, no Programa de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Aperfeiçoamento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Pessoal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Assessorias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Técnicas de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Estudo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do Gabinete Psicopedagógico.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Na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psicoterapia, é especializado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nas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áreas da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depressão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ansiedade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obsessões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dificuldades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de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aprendizagem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comunicação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 e </w:t>
                  </w:r>
                  <w:proofErr w:type="spellStart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>relação</w:t>
                  </w:r>
                  <w:proofErr w:type="spellEnd"/>
                  <w:r w:rsidRPr="00FC04CD">
                    <w:rPr>
                      <w:rFonts w:ascii="Arial" w:eastAsia="Times New Roman" w:hAnsi="Arial" w:cs="Arial"/>
                      <w:color w:val="3A3A2A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  <w:p w:rsidR="00FC04CD" w:rsidRPr="00FC04CD" w:rsidRDefault="00FC04CD" w:rsidP="00FC04C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s-ES"/>
                    </w:rPr>
                  </w:pPr>
                </w:p>
              </w:tc>
            </w:tr>
          </w:tbl>
          <w:p w:rsidR="00FC04CD" w:rsidRPr="00FC04CD" w:rsidRDefault="00FC04CD" w:rsidP="00FC04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C04CD" w:rsidRPr="00FC04CD" w:rsidRDefault="00FC04CD" w:rsidP="00F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F4C2E" w:rsidRDefault="001F4C2E" w:rsidP="00C93FA5"/>
    <w:sectPr w:rsidR="001F4C2E" w:rsidSect="00C93FA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4CD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5E0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3E9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4A2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34D1"/>
    <w:rsid w:val="000C3B8B"/>
    <w:rsid w:val="000C6E0A"/>
    <w:rsid w:val="000C78BF"/>
    <w:rsid w:val="000C78C9"/>
    <w:rsid w:val="000C7B20"/>
    <w:rsid w:val="000D0301"/>
    <w:rsid w:val="000D0F33"/>
    <w:rsid w:val="000D360C"/>
    <w:rsid w:val="000D3B6E"/>
    <w:rsid w:val="000D5BAF"/>
    <w:rsid w:val="000E2128"/>
    <w:rsid w:val="000E2D9F"/>
    <w:rsid w:val="000E2DF6"/>
    <w:rsid w:val="000E35B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2DD7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355C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97FDF"/>
    <w:rsid w:val="001A0F11"/>
    <w:rsid w:val="001A2941"/>
    <w:rsid w:val="001A37D4"/>
    <w:rsid w:val="001A3D9B"/>
    <w:rsid w:val="001A4A30"/>
    <w:rsid w:val="001A555D"/>
    <w:rsid w:val="001A6140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4F67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0E2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3C09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4B5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03E"/>
    <w:rsid w:val="002D6128"/>
    <w:rsid w:val="002D7BD4"/>
    <w:rsid w:val="002E0133"/>
    <w:rsid w:val="002E2EBC"/>
    <w:rsid w:val="002E37CD"/>
    <w:rsid w:val="002E3B7A"/>
    <w:rsid w:val="002E41A2"/>
    <w:rsid w:val="002E42BE"/>
    <w:rsid w:val="002E534D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3EBC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163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699F"/>
    <w:rsid w:val="0035703D"/>
    <w:rsid w:val="00361EEB"/>
    <w:rsid w:val="003645C6"/>
    <w:rsid w:val="00364BB8"/>
    <w:rsid w:val="00365E14"/>
    <w:rsid w:val="00366981"/>
    <w:rsid w:val="00371BCC"/>
    <w:rsid w:val="00372081"/>
    <w:rsid w:val="00372F5D"/>
    <w:rsid w:val="00374C67"/>
    <w:rsid w:val="00374E79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2354"/>
    <w:rsid w:val="003C3334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692B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2763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2D24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F64"/>
    <w:rsid w:val="00497E8A"/>
    <w:rsid w:val="004A01B9"/>
    <w:rsid w:val="004A2370"/>
    <w:rsid w:val="004A2A81"/>
    <w:rsid w:val="004A2D8A"/>
    <w:rsid w:val="004A2F9A"/>
    <w:rsid w:val="004A441F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3F6D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71F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6BF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48E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04D3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A20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2697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61E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020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A27"/>
    <w:rsid w:val="007B1C98"/>
    <w:rsid w:val="007B1D08"/>
    <w:rsid w:val="007B2329"/>
    <w:rsid w:val="007B2559"/>
    <w:rsid w:val="007B3D63"/>
    <w:rsid w:val="007B418F"/>
    <w:rsid w:val="007B5FA7"/>
    <w:rsid w:val="007B78E3"/>
    <w:rsid w:val="007B7CDA"/>
    <w:rsid w:val="007B7EC8"/>
    <w:rsid w:val="007C01DB"/>
    <w:rsid w:val="007C06A2"/>
    <w:rsid w:val="007C0C33"/>
    <w:rsid w:val="007C1299"/>
    <w:rsid w:val="007C1431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3D68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0592A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1AB7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10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69D7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10576"/>
    <w:rsid w:val="00911064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6B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1D"/>
    <w:rsid w:val="009A1D2B"/>
    <w:rsid w:val="009A3106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521"/>
    <w:rsid w:val="009C19E8"/>
    <w:rsid w:val="009C2AA6"/>
    <w:rsid w:val="009C2CF9"/>
    <w:rsid w:val="009C2E5E"/>
    <w:rsid w:val="009C5D31"/>
    <w:rsid w:val="009C60ED"/>
    <w:rsid w:val="009C63B1"/>
    <w:rsid w:val="009C6ADA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1398"/>
    <w:rsid w:val="00A540BD"/>
    <w:rsid w:val="00A541FD"/>
    <w:rsid w:val="00A54CAB"/>
    <w:rsid w:val="00A56208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A69D4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668AE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58BF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3149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74C8"/>
    <w:rsid w:val="00C17CD3"/>
    <w:rsid w:val="00C17D3D"/>
    <w:rsid w:val="00C21202"/>
    <w:rsid w:val="00C22180"/>
    <w:rsid w:val="00C23520"/>
    <w:rsid w:val="00C2393F"/>
    <w:rsid w:val="00C244D1"/>
    <w:rsid w:val="00C24935"/>
    <w:rsid w:val="00C27943"/>
    <w:rsid w:val="00C27C96"/>
    <w:rsid w:val="00C30874"/>
    <w:rsid w:val="00C3137D"/>
    <w:rsid w:val="00C32355"/>
    <w:rsid w:val="00C34272"/>
    <w:rsid w:val="00C360C1"/>
    <w:rsid w:val="00C413B7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67B96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3FA5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7FC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011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A7661"/>
    <w:rsid w:val="00DB0BD6"/>
    <w:rsid w:val="00DB13CA"/>
    <w:rsid w:val="00DB1CFC"/>
    <w:rsid w:val="00DB275F"/>
    <w:rsid w:val="00DB3598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9C1"/>
    <w:rsid w:val="00DC0F42"/>
    <w:rsid w:val="00DC0F77"/>
    <w:rsid w:val="00DC1258"/>
    <w:rsid w:val="00DC1BF7"/>
    <w:rsid w:val="00DC1D49"/>
    <w:rsid w:val="00DC1FBF"/>
    <w:rsid w:val="00DC2D64"/>
    <w:rsid w:val="00DC396C"/>
    <w:rsid w:val="00DC3BD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55A8"/>
    <w:rsid w:val="00E26593"/>
    <w:rsid w:val="00E26CA3"/>
    <w:rsid w:val="00E30011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235"/>
    <w:rsid w:val="00E6039C"/>
    <w:rsid w:val="00E607CA"/>
    <w:rsid w:val="00E617B0"/>
    <w:rsid w:val="00E62000"/>
    <w:rsid w:val="00E63761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38A"/>
    <w:rsid w:val="00EA7890"/>
    <w:rsid w:val="00EB0157"/>
    <w:rsid w:val="00EB142D"/>
    <w:rsid w:val="00EB19E2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C7973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08F1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51D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56676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86B33"/>
    <w:rsid w:val="00F90023"/>
    <w:rsid w:val="00F9002F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2A"/>
    <w:rsid w:val="00FA60C2"/>
    <w:rsid w:val="00FA7698"/>
    <w:rsid w:val="00FA7F38"/>
    <w:rsid w:val="00FB035B"/>
    <w:rsid w:val="00FB0BBA"/>
    <w:rsid w:val="00FB0E84"/>
    <w:rsid w:val="00FB1A3C"/>
    <w:rsid w:val="00FB2FEA"/>
    <w:rsid w:val="00FB306C"/>
    <w:rsid w:val="00FB3B66"/>
    <w:rsid w:val="00FB5DB2"/>
    <w:rsid w:val="00FB7A78"/>
    <w:rsid w:val="00FC04CD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FC04CD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17"/>
      <w:szCs w:val="17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C04CD"/>
    <w:pPr>
      <w:spacing w:after="0" w:line="240" w:lineRule="auto"/>
      <w:outlineLvl w:val="1"/>
    </w:pPr>
    <w:rPr>
      <w:rFonts w:ascii="Verdana" w:eastAsia="Times New Roman" w:hAnsi="Verdana" w:cs="Times New Roman"/>
      <w:sz w:val="17"/>
      <w:szCs w:val="1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4CD"/>
    <w:rPr>
      <w:rFonts w:ascii="Verdana" w:eastAsia="Times New Roman" w:hAnsi="Verdana" w:cs="Times New Roman"/>
      <w:kern w:val="36"/>
      <w:sz w:val="17"/>
      <w:szCs w:val="17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04CD"/>
    <w:rPr>
      <w:rFonts w:ascii="Verdana" w:eastAsia="Times New Roman" w:hAnsi="Verdana" w:cs="Times New Roman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C04CD"/>
    <w:rPr>
      <w:rFonts w:ascii="Verdana" w:hAnsi="Verdana" w:hint="default"/>
      <w:b w:val="0"/>
      <w:bCs w:val="0"/>
      <w:strike w:val="0"/>
      <w:dstrike w:val="0"/>
      <w:color w:val="0000FF"/>
      <w:sz w:val="17"/>
      <w:szCs w:val="17"/>
      <w:u w:val="none"/>
      <w:effect w:val="none"/>
      <w:bdr w:val="none" w:sz="0" w:space="0" w:color="auto" w:frame="1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C04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C04C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C04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C04CD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rviconovidadesel">
    <w:name w:val="serviconovidadesel"/>
    <w:basedOn w:val="Fuentedeprrafopredeter"/>
    <w:rsid w:val="00FC04CD"/>
    <w:rPr>
      <w:rFonts w:ascii="Verdana" w:hAnsi="Verdana" w:hint="default"/>
      <w:b w:val="0"/>
      <w:bCs w:val="0"/>
      <w:sz w:val="17"/>
      <w:szCs w:val="17"/>
      <w:bdr w:val="none" w:sz="0" w:space="0" w:color="auto" w:frame="1"/>
    </w:rPr>
  </w:style>
  <w:style w:type="character" w:customStyle="1" w:styleId="verticaldash1">
    <w:name w:val="verticaldash1"/>
    <w:basedOn w:val="Fuentedeprrafopredeter"/>
    <w:rsid w:val="00FC04CD"/>
    <w:rPr>
      <w:rFonts w:ascii="Arial" w:hAnsi="Arial" w:cs="Arial" w:hint="default"/>
      <w:b w:val="0"/>
      <w:bCs w:val="0"/>
      <w:color w:val="333333"/>
      <w:sz w:val="17"/>
      <w:szCs w:val="17"/>
      <w:bdr w:val="none" w:sz="0" w:space="0" w:color="auto" w:frame="1"/>
    </w:rPr>
  </w:style>
  <w:style w:type="character" w:customStyle="1" w:styleId="hmenuthirdlineitem">
    <w:name w:val="hmenuthirdlineitem"/>
    <w:basedOn w:val="Fuentedeprrafopredeter"/>
    <w:rsid w:val="00FC04CD"/>
    <w:rPr>
      <w:rFonts w:ascii="Verdana" w:hAnsi="Verdana" w:hint="default"/>
      <w:b w:val="0"/>
      <w:bCs w:val="0"/>
      <w:sz w:val="17"/>
      <w:szCs w:val="17"/>
      <w:bdr w:val="none" w:sz="0" w:space="0" w:color="auto" w:frame="1"/>
    </w:rPr>
  </w:style>
  <w:style w:type="character" w:customStyle="1" w:styleId="levelsanchors3">
    <w:name w:val="levelsanchors3"/>
    <w:basedOn w:val="Fuentedeprrafopredeter"/>
    <w:rsid w:val="00FC04CD"/>
    <w:rPr>
      <w:rFonts w:ascii="Arial" w:hAnsi="Arial" w:cs="Arial" w:hint="default"/>
      <w:b w:val="0"/>
      <w:bCs w:val="0"/>
      <w:color w:val="015A7A"/>
      <w:sz w:val="17"/>
      <w:szCs w:val="17"/>
      <w:bdr w:val="none" w:sz="0" w:space="0" w:color="auto" w:frame="1"/>
    </w:rPr>
  </w:style>
  <w:style w:type="character" w:customStyle="1" w:styleId="artigoautor2">
    <w:name w:val="artigoautor2"/>
    <w:basedOn w:val="Fuentedeprrafopredeter"/>
    <w:rsid w:val="00FC04CD"/>
    <w:rPr>
      <w:rFonts w:ascii="Verdana" w:hAnsi="Verdana" w:hint="default"/>
      <w:b w:val="0"/>
      <w:bCs w:val="0"/>
      <w:strike w:val="0"/>
      <w:dstrike w:val="0"/>
      <w:color w:val="4C90B3"/>
      <w:sz w:val="17"/>
      <w:szCs w:val="17"/>
      <w:u w:val="none"/>
      <w:effect w:val="none"/>
      <w:bdr w:val="none" w:sz="0" w:space="0" w:color="auto" w:frame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697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77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4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2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4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E5E5E5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913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clix.expresso.pt/ge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x.expresso.pt/gen.pl?sid=ex.sections/23412&amp;mid1=ex.menus/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aeiou.expresso.p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4</cp:revision>
  <dcterms:created xsi:type="dcterms:W3CDTF">2009-04-15T10:19:00Z</dcterms:created>
  <dcterms:modified xsi:type="dcterms:W3CDTF">2009-04-15T10:40:00Z</dcterms:modified>
</cp:coreProperties>
</file>